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6855A" w14:textId="2632E19E" w:rsidR="00D21301" w:rsidRDefault="00D21301" w:rsidP="00D21301">
      <w:pPr>
        <w:spacing w:after="1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Draft Contents</w:t>
      </w:r>
      <w:r>
        <w:rPr>
          <w:b/>
          <w:sz w:val="24"/>
          <w:szCs w:val="24"/>
          <w:u w:val="single"/>
        </w:rPr>
        <w:t xml:space="preserve"> – </w:t>
      </w:r>
      <w:r w:rsidRPr="00D21301">
        <w:rPr>
          <w:b/>
          <w:sz w:val="24"/>
          <w:szCs w:val="24"/>
          <w:u w:val="single"/>
        </w:rPr>
        <w:t>O</w:t>
      </w:r>
      <w:r>
        <w:rPr>
          <w:b/>
          <w:sz w:val="24"/>
          <w:szCs w:val="24"/>
          <w:u w:val="single"/>
        </w:rPr>
        <w:t>Z</w:t>
      </w:r>
      <w:bookmarkStart w:id="0" w:name="_GoBack"/>
      <w:bookmarkEnd w:id="0"/>
      <w:r w:rsidRPr="00D21301">
        <w:rPr>
          <w:b/>
          <w:sz w:val="24"/>
          <w:szCs w:val="24"/>
          <w:u w:val="single"/>
        </w:rPr>
        <w:t xml:space="preserve">EV/IET EV Infrastructure guidance </w:t>
      </w:r>
    </w:p>
    <w:p w14:paraId="40068B96" w14:textId="77777777" w:rsidR="00D21301" w:rsidRDefault="00D21301" w:rsidP="00D21301">
      <w:pPr>
        <w:spacing w:after="120"/>
        <w:jc w:val="both"/>
        <w:rPr>
          <w:b/>
          <w:sz w:val="24"/>
          <w:szCs w:val="24"/>
          <w:u w:val="single"/>
        </w:rPr>
      </w:pPr>
    </w:p>
    <w:sdt>
      <w:sdtPr>
        <w:id w:val="-446313976"/>
        <w:docPartObj>
          <w:docPartGallery w:val="Table of Contents"/>
          <w:docPartUnique/>
        </w:docPartObj>
      </w:sdtPr>
      <w:sdtContent>
        <w:p w14:paraId="5625D4AE" w14:textId="77777777" w:rsidR="00D21301" w:rsidRDefault="00D21301" w:rsidP="00D21301">
          <w:pPr>
            <w:numPr>
              <w:ilvl w:val="0"/>
              <w:numId w:val="1"/>
            </w:numPr>
            <w:spacing w:after="200"/>
          </w:pPr>
          <w:r>
            <w:fldChar w:fldCharType="begin"/>
          </w:r>
          <w:r>
            <w:instrText xml:space="preserve"> TOC \h \u \z \n </w:instrText>
          </w:r>
          <w:r>
            <w:fldChar w:fldCharType="separate"/>
          </w:r>
          <w:r>
            <w:rPr>
              <w:rFonts w:eastAsia="Calibri"/>
              <w:b/>
            </w:rPr>
            <w:t>Foreword</w:t>
          </w:r>
        </w:p>
        <w:p w14:paraId="045CF33A" w14:textId="77777777" w:rsidR="00D21301" w:rsidRDefault="00D21301" w:rsidP="00D21301">
          <w:pPr>
            <w:numPr>
              <w:ilvl w:val="0"/>
              <w:numId w:val="1"/>
            </w:numPr>
            <w:spacing w:after="200"/>
          </w:pPr>
          <w:hyperlink w:anchor="_heading=h.3znysh7">
            <w:r>
              <w:rPr>
                <w:rFonts w:eastAsia="Calibri"/>
                <w:b/>
              </w:rPr>
              <w:t>Introduction</w:t>
            </w:r>
          </w:hyperlink>
        </w:p>
        <w:p w14:paraId="7CEBADA4" w14:textId="77777777" w:rsidR="00D21301" w:rsidRDefault="00D21301" w:rsidP="00D21301">
          <w:pPr>
            <w:numPr>
              <w:ilvl w:val="0"/>
              <w:numId w:val="1"/>
            </w:numPr>
            <w:spacing w:before="200"/>
          </w:pPr>
          <w:hyperlink w:anchor="_heading=h.2et92p0">
            <w:r>
              <w:rPr>
                <w:b/>
              </w:rPr>
              <w:t>Glossary - terminology and definitions</w:t>
            </w:r>
          </w:hyperlink>
        </w:p>
        <w:p w14:paraId="787167E8" w14:textId="77777777" w:rsidR="00D21301" w:rsidRDefault="00D21301" w:rsidP="00D21301">
          <w:pPr>
            <w:numPr>
              <w:ilvl w:val="1"/>
              <w:numId w:val="1"/>
            </w:numPr>
          </w:pPr>
          <w:hyperlink w:anchor="_heading=h.tyjcwt">
            <w:r>
              <w:t>Vehicle terminology and definitions</w:t>
            </w:r>
          </w:hyperlink>
        </w:p>
        <w:p w14:paraId="31AC2EE3" w14:textId="77777777" w:rsidR="00D21301" w:rsidRDefault="00D21301" w:rsidP="00D21301">
          <w:pPr>
            <w:numPr>
              <w:ilvl w:val="1"/>
              <w:numId w:val="1"/>
            </w:numPr>
          </w:pPr>
          <w:hyperlink w:anchor="_heading=h.3dy6vkm">
            <w:r>
              <w:t>EV charging infrastructure terminology and definitions</w:t>
            </w:r>
          </w:hyperlink>
        </w:p>
        <w:p w14:paraId="358F7AD4" w14:textId="77777777" w:rsidR="00D21301" w:rsidRDefault="00D21301" w:rsidP="00D21301">
          <w:pPr>
            <w:numPr>
              <w:ilvl w:val="2"/>
              <w:numId w:val="1"/>
            </w:numPr>
            <w:ind w:hanging="180"/>
          </w:pPr>
          <w:r>
            <w:t xml:space="preserve">Types of </w:t>
          </w:r>
          <w:proofErr w:type="spellStart"/>
          <w:r>
            <w:t>chargepoints</w:t>
          </w:r>
          <w:proofErr w:type="spellEnd"/>
        </w:p>
        <w:p w14:paraId="5C67F1FA" w14:textId="77777777" w:rsidR="00D21301" w:rsidRDefault="00D21301" w:rsidP="00D21301">
          <w:pPr>
            <w:numPr>
              <w:ilvl w:val="2"/>
              <w:numId w:val="1"/>
            </w:numPr>
            <w:ind w:hanging="180"/>
          </w:pPr>
          <w:r>
            <w:t xml:space="preserve">Ratings (output) of </w:t>
          </w:r>
          <w:proofErr w:type="spellStart"/>
          <w:r>
            <w:t>chargepoints</w:t>
          </w:r>
          <w:proofErr w:type="spellEnd"/>
        </w:p>
        <w:p w14:paraId="1ABAF14B" w14:textId="77777777" w:rsidR="00D21301" w:rsidRDefault="00D21301" w:rsidP="00D21301">
          <w:pPr>
            <w:numPr>
              <w:ilvl w:val="2"/>
              <w:numId w:val="1"/>
            </w:numPr>
            <w:ind w:hanging="180"/>
          </w:pPr>
          <w:r>
            <w:t>DC versus AC charging</w:t>
          </w:r>
        </w:p>
        <w:p w14:paraId="10C78C30" w14:textId="77777777" w:rsidR="00D21301" w:rsidRDefault="00D21301" w:rsidP="00D21301">
          <w:pPr>
            <w:numPr>
              <w:ilvl w:val="2"/>
              <w:numId w:val="1"/>
            </w:numPr>
            <w:ind w:hanging="180"/>
          </w:pPr>
          <w:proofErr w:type="spellStart"/>
          <w:r>
            <w:rPr>
              <w:rFonts w:eastAsia="Calibri"/>
            </w:rPr>
            <w:t>Chargepoint</w:t>
          </w:r>
          <w:proofErr w:type="spellEnd"/>
          <w:r>
            <w:rPr>
              <w:rFonts w:eastAsia="Calibri"/>
            </w:rPr>
            <w:t xml:space="preserve"> connector standards</w:t>
          </w:r>
        </w:p>
        <w:p w14:paraId="5259BAEB" w14:textId="77777777" w:rsidR="00D21301" w:rsidRDefault="00D21301" w:rsidP="00D21301">
          <w:pPr>
            <w:numPr>
              <w:ilvl w:val="2"/>
              <w:numId w:val="1"/>
            </w:numPr>
            <w:ind w:hanging="180"/>
          </w:pPr>
          <w:r>
            <w:rPr>
              <w:rFonts w:eastAsia="Calibri"/>
            </w:rPr>
            <w:t>Monitoring and management terminology</w:t>
          </w:r>
        </w:p>
        <w:p w14:paraId="5764AD06" w14:textId="77777777" w:rsidR="00D21301" w:rsidRDefault="00D21301" w:rsidP="00D21301">
          <w:pPr>
            <w:numPr>
              <w:ilvl w:val="2"/>
              <w:numId w:val="1"/>
            </w:numPr>
            <w:ind w:hanging="180"/>
          </w:pPr>
          <w:r>
            <w:t>‘Smart’ charging - an introduction</w:t>
          </w:r>
        </w:p>
        <w:p w14:paraId="4C4EAF59" w14:textId="77777777" w:rsidR="00D21301" w:rsidRDefault="00D21301" w:rsidP="00D21301">
          <w:pPr>
            <w:numPr>
              <w:ilvl w:val="2"/>
              <w:numId w:val="1"/>
            </w:numPr>
            <w:ind w:hanging="180"/>
          </w:pPr>
          <w:hyperlink w:anchor="_heading=h.1t3h5sf">
            <w:r>
              <w:t>‘Vehicle to Grid’ (V2G) - an introduction</w:t>
            </w:r>
          </w:hyperlink>
        </w:p>
        <w:p w14:paraId="01A9BFF4" w14:textId="77777777" w:rsidR="00D21301" w:rsidRDefault="00D21301" w:rsidP="00D21301">
          <w:pPr>
            <w:numPr>
              <w:ilvl w:val="0"/>
              <w:numId w:val="1"/>
            </w:numPr>
            <w:spacing w:before="200"/>
          </w:pPr>
          <w:hyperlink w:anchor="_heading=h.4d34og8">
            <w:r>
              <w:rPr>
                <w:b/>
              </w:rPr>
              <w:t>Choosing the best EV charging solution for your area</w:t>
            </w:r>
          </w:hyperlink>
        </w:p>
        <w:p w14:paraId="6835A637" w14:textId="77777777" w:rsidR="00D21301" w:rsidRDefault="00D21301" w:rsidP="00D21301">
          <w:pPr>
            <w:numPr>
              <w:ilvl w:val="1"/>
              <w:numId w:val="1"/>
            </w:numPr>
          </w:pPr>
          <w:r>
            <w:t>Gauging local stakeholder interest, concerns and demand</w:t>
          </w:r>
        </w:p>
        <w:p w14:paraId="6D367D1F" w14:textId="77777777" w:rsidR="00D21301" w:rsidRDefault="00D21301" w:rsidP="00D21301">
          <w:pPr>
            <w:numPr>
              <w:ilvl w:val="2"/>
              <w:numId w:val="1"/>
            </w:numPr>
            <w:ind w:hanging="180"/>
          </w:pPr>
          <w:r>
            <w:t>Setting an example - does the Local Authority prioritise ZEV take up?</w:t>
          </w:r>
        </w:p>
        <w:p w14:paraId="5E6AFE34" w14:textId="77777777" w:rsidR="00D21301" w:rsidRDefault="00D21301" w:rsidP="00D21301">
          <w:pPr>
            <w:numPr>
              <w:ilvl w:val="2"/>
              <w:numId w:val="1"/>
            </w:numPr>
            <w:ind w:hanging="180"/>
          </w:pPr>
          <w:r>
            <w:t>Education programmes and EV demonstration days</w:t>
          </w:r>
        </w:p>
        <w:p w14:paraId="49A6F91E" w14:textId="77777777" w:rsidR="00D21301" w:rsidRDefault="00D21301" w:rsidP="00D21301">
          <w:pPr>
            <w:numPr>
              <w:ilvl w:val="2"/>
              <w:numId w:val="1"/>
            </w:numPr>
            <w:ind w:hanging="180"/>
          </w:pPr>
          <w:r>
            <w:t>Running a local consultation</w:t>
          </w:r>
        </w:p>
        <w:p w14:paraId="25AFC0C7" w14:textId="77777777" w:rsidR="00D21301" w:rsidRDefault="00D21301" w:rsidP="00D21301">
          <w:pPr>
            <w:numPr>
              <w:ilvl w:val="2"/>
              <w:numId w:val="1"/>
            </w:numPr>
            <w:ind w:hanging="180"/>
          </w:pPr>
          <w:r>
            <w:t>Considering the needs of disabled users</w:t>
          </w:r>
        </w:p>
        <w:p w14:paraId="628353B4" w14:textId="77777777" w:rsidR="00D21301" w:rsidRDefault="00D21301" w:rsidP="00D21301">
          <w:pPr>
            <w:numPr>
              <w:ilvl w:val="1"/>
              <w:numId w:val="1"/>
            </w:numPr>
          </w:pPr>
          <w:hyperlink w:anchor="_heading=h.2s8eyo1">
            <w:r>
              <w:t>On-street charging - where it works and where it doesn't</w:t>
            </w:r>
          </w:hyperlink>
        </w:p>
        <w:p w14:paraId="632F102F" w14:textId="77777777" w:rsidR="00D21301" w:rsidRDefault="00D21301" w:rsidP="00D21301">
          <w:pPr>
            <w:numPr>
              <w:ilvl w:val="1"/>
              <w:numId w:val="1"/>
            </w:numPr>
          </w:pPr>
          <w:hyperlink w:anchor="_heading=h.17dp8vu">
            <w:r>
              <w:t>Conducting site surveys - early engagement with residents</w:t>
            </w:r>
          </w:hyperlink>
        </w:p>
        <w:p w14:paraId="1F8CB537" w14:textId="77777777" w:rsidR="00D21301" w:rsidRDefault="00D21301" w:rsidP="00D21301">
          <w:pPr>
            <w:numPr>
              <w:ilvl w:val="1"/>
              <w:numId w:val="1"/>
            </w:numPr>
          </w:pPr>
          <w:hyperlink w:anchor="_heading=h.17dp8vu">
            <w:r>
              <w:t>Charge point location effect on local transport flows</w:t>
            </w:r>
          </w:hyperlink>
        </w:p>
        <w:p w14:paraId="7410C629" w14:textId="77777777" w:rsidR="00D21301" w:rsidRDefault="00D21301" w:rsidP="00D21301">
          <w:pPr>
            <w:numPr>
              <w:ilvl w:val="1"/>
              <w:numId w:val="1"/>
            </w:numPr>
          </w:pPr>
          <w:hyperlink w:anchor="_heading=h.3rdcrjn">
            <w:r>
              <w:t>Issues specific to public or on-street infrastructure</w:t>
            </w:r>
          </w:hyperlink>
        </w:p>
        <w:p w14:paraId="428F022A" w14:textId="77777777" w:rsidR="00D21301" w:rsidRDefault="00D21301" w:rsidP="00D21301">
          <w:pPr>
            <w:numPr>
              <w:ilvl w:val="1"/>
              <w:numId w:val="1"/>
            </w:numPr>
          </w:pPr>
          <w:r>
            <w:t>Specific locations and use-types</w:t>
          </w:r>
        </w:p>
        <w:p w14:paraId="0352D50F" w14:textId="77777777" w:rsidR="00D21301" w:rsidRDefault="00D21301" w:rsidP="00D21301">
          <w:pPr>
            <w:numPr>
              <w:ilvl w:val="2"/>
              <w:numId w:val="1"/>
            </w:numPr>
            <w:ind w:hanging="180"/>
          </w:pPr>
          <w:hyperlink w:anchor="_heading=h.26in1rg">
            <w:r>
              <w:rPr>
                <w:rFonts w:eastAsia="Calibri"/>
              </w:rPr>
              <w:t>Park &amp; Ride car parks</w:t>
            </w:r>
          </w:hyperlink>
        </w:p>
        <w:p w14:paraId="1BC46516" w14:textId="77777777" w:rsidR="00D21301" w:rsidRDefault="00D21301" w:rsidP="00D21301">
          <w:pPr>
            <w:numPr>
              <w:ilvl w:val="2"/>
              <w:numId w:val="1"/>
            </w:numPr>
            <w:ind w:hanging="180"/>
          </w:pPr>
          <w:hyperlink w:anchor="_heading=h.lnxbz9">
            <w:r>
              <w:rPr>
                <w:rFonts w:eastAsia="Calibri"/>
              </w:rPr>
              <w:t>Taxi ranks</w:t>
            </w:r>
          </w:hyperlink>
        </w:p>
        <w:p w14:paraId="5866BF28" w14:textId="77777777" w:rsidR="00D21301" w:rsidRDefault="00D21301" w:rsidP="00D21301">
          <w:pPr>
            <w:numPr>
              <w:ilvl w:val="2"/>
              <w:numId w:val="1"/>
            </w:numPr>
            <w:ind w:hanging="180"/>
          </w:pPr>
          <w:hyperlink w:anchor="_heading=h.35nkun2">
            <w:r>
              <w:rPr>
                <w:rFonts w:eastAsia="Calibri"/>
              </w:rPr>
              <w:t>Council offices and depots</w:t>
            </w:r>
          </w:hyperlink>
        </w:p>
        <w:p w14:paraId="78C03AEB" w14:textId="77777777" w:rsidR="00D21301" w:rsidRDefault="00D21301" w:rsidP="00D21301">
          <w:pPr>
            <w:numPr>
              <w:ilvl w:val="2"/>
              <w:numId w:val="1"/>
            </w:numPr>
            <w:ind w:hanging="180"/>
          </w:pPr>
          <w:r>
            <w:t>Car clubs</w:t>
          </w:r>
        </w:p>
        <w:p w14:paraId="01A13DF7" w14:textId="77777777" w:rsidR="00D21301" w:rsidRDefault="00D21301" w:rsidP="00D21301">
          <w:pPr>
            <w:numPr>
              <w:ilvl w:val="1"/>
              <w:numId w:val="1"/>
            </w:numPr>
            <w:spacing w:after="200"/>
          </w:pPr>
          <w:hyperlink w:anchor="_heading=h.1ksv4uv">
            <w:r>
              <w:t>Other factors</w:t>
            </w:r>
          </w:hyperlink>
        </w:p>
        <w:p w14:paraId="21D2D21F" w14:textId="77777777" w:rsidR="00D21301" w:rsidRDefault="00D21301" w:rsidP="00D21301">
          <w:pPr>
            <w:numPr>
              <w:ilvl w:val="0"/>
              <w:numId w:val="1"/>
            </w:numPr>
            <w:spacing w:before="200"/>
          </w:pPr>
          <w:r>
            <w:rPr>
              <w:b/>
            </w:rPr>
            <w:t>P</w:t>
          </w:r>
          <w:hyperlink w:anchor="_heading=h.44sinio">
            <w:r>
              <w:rPr>
                <w:b/>
              </w:rPr>
              <w:t>rior to installation</w:t>
            </w:r>
          </w:hyperlink>
        </w:p>
        <w:p w14:paraId="2FD3BB3E" w14:textId="77777777" w:rsidR="00D21301" w:rsidRDefault="00D21301" w:rsidP="00D21301">
          <w:pPr>
            <w:numPr>
              <w:ilvl w:val="1"/>
              <w:numId w:val="1"/>
            </w:numPr>
          </w:pPr>
          <w:hyperlink w:anchor="_heading=h.2jxsxqh">
            <w:r>
              <w:t>Planning considerations</w:t>
            </w:r>
          </w:hyperlink>
        </w:p>
        <w:p w14:paraId="68C2FF8B" w14:textId="77777777" w:rsidR="00D21301" w:rsidRDefault="00D21301" w:rsidP="00D21301">
          <w:pPr>
            <w:numPr>
              <w:ilvl w:val="2"/>
              <w:numId w:val="1"/>
            </w:numPr>
            <w:ind w:hanging="180"/>
          </w:pPr>
          <w:r>
            <w:t>Permitted developments</w:t>
          </w:r>
        </w:p>
        <w:p w14:paraId="1BD25AAB" w14:textId="77777777" w:rsidR="00D21301" w:rsidRDefault="00D21301" w:rsidP="00D21301">
          <w:pPr>
            <w:numPr>
              <w:ilvl w:val="2"/>
              <w:numId w:val="1"/>
            </w:numPr>
            <w:ind w:hanging="180"/>
          </w:pPr>
          <w:hyperlink w:anchor="_heading=h.z337ya">
            <w:r>
              <w:t>Protection of street furniture in historical cities</w:t>
            </w:r>
          </w:hyperlink>
        </w:p>
        <w:p w14:paraId="6FED01C6" w14:textId="77777777" w:rsidR="00D21301" w:rsidRDefault="00D21301" w:rsidP="00D21301">
          <w:pPr>
            <w:numPr>
              <w:ilvl w:val="2"/>
              <w:numId w:val="1"/>
            </w:numPr>
            <w:ind w:hanging="180"/>
          </w:pPr>
          <w:hyperlink w:anchor="_heading=h.3j2qqm3">
            <w:r>
              <w:t>Traffic Regulation Orders (TROs)</w:t>
            </w:r>
          </w:hyperlink>
        </w:p>
        <w:p w14:paraId="7269F6D9" w14:textId="77777777" w:rsidR="00D21301" w:rsidRDefault="00D21301" w:rsidP="00D21301">
          <w:pPr>
            <w:numPr>
              <w:ilvl w:val="3"/>
              <w:numId w:val="1"/>
            </w:numPr>
          </w:pPr>
          <w:hyperlink w:anchor="_heading=h.1y810tw">
            <w:r>
              <w:t>Unenforced TROs</w:t>
            </w:r>
          </w:hyperlink>
        </w:p>
        <w:p w14:paraId="662FCEA7" w14:textId="77777777" w:rsidR="00D21301" w:rsidRDefault="00D21301" w:rsidP="00D21301">
          <w:pPr>
            <w:numPr>
              <w:ilvl w:val="3"/>
              <w:numId w:val="1"/>
            </w:numPr>
          </w:pPr>
          <w:hyperlink w:anchor="_heading=h.4i7ojhp">
            <w:r>
              <w:t>Experimental TROs and Highways Agency</w:t>
            </w:r>
          </w:hyperlink>
        </w:p>
        <w:p w14:paraId="5317C531" w14:textId="77777777" w:rsidR="00D21301" w:rsidRDefault="00D21301" w:rsidP="00D21301">
          <w:pPr>
            <w:numPr>
              <w:ilvl w:val="1"/>
              <w:numId w:val="1"/>
            </w:numPr>
          </w:pPr>
          <w:hyperlink w:anchor="_heading=h.2xcytpi">
            <w:r>
              <w:t>Electrical</w:t>
            </w:r>
          </w:hyperlink>
        </w:p>
        <w:p w14:paraId="51F4D18D" w14:textId="77777777" w:rsidR="00D21301" w:rsidRDefault="00D21301" w:rsidP="00D21301">
          <w:pPr>
            <w:numPr>
              <w:ilvl w:val="2"/>
              <w:numId w:val="1"/>
            </w:numPr>
            <w:ind w:hanging="180"/>
          </w:pPr>
          <w:hyperlink w:anchor="_heading=h.1t3h5sf">
            <w:r>
              <w:t>Early collaboration and engagement with DNO/IDNO</w:t>
            </w:r>
          </w:hyperlink>
        </w:p>
        <w:p w14:paraId="3817E584" w14:textId="77777777" w:rsidR="00D21301" w:rsidRDefault="00D21301" w:rsidP="00D21301">
          <w:pPr>
            <w:numPr>
              <w:ilvl w:val="2"/>
              <w:numId w:val="1"/>
            </w:numPr>
            <w:ind w:hanging="180"/>
          </w:pPr>
          <w:hyperlink w:anchor="_heading=h.1t3h5sf">
            <w:r>
              <w:t>Earthing considerations (lamppost charging)</w:t>
            </w:r>
          </w:hyperlink>
        </w:p>
        <w:p w14:paraId="07CCC3E3" w14:textId="77777777" w:rsidR="00D21301" w:rsidRDefault="00D21301" w:rsidP="00D21301">
          <w:pPr>
            <w:numPr>
              <w:ilvl w:val="1"/>
              <w:numId w:val="1"/>
            </w:numPr>
          </w:pPr>
          <w:hyperlink w:anchor="_heading=h.1ci93xb">
            <w:r>
              <w:t>Licenses required for installation of EV chargepoints</w:t>
            </w:r>
          </w:hyperlink>
        </w:p>
        <w:p w14:paraId="55838127" w14:textId="77777777" w:rsidR="00D21301" w:rsidRDefault="00D21301" w:rsidP="00D21301">
          <w:pPr>
            <w:numPr>
              <w:ilvl w:val="2"/>
              <w:numId w:val="1"/>
            </w:numPr>
            <w:ind w:hanging="180"/>
          </w:pPr>
          <w:hyperlink w:anchor="_heading=h.3whwml4">
            <w:r>
              <w:t>G39 certificate - required for lamppost</w:t>
            </w:r>
          </w:hyperlink>
        </w:p>
        <w:p w14:paraId="30FE9D05" w14:textId="77777777" w:rsidR="00D21301" w:rsidRDefault="00D21301" w:rsidP="00D21301">
          <w:pPr>
            <w:numPr>
              <w:ilvl w:val="2"/>
              <w:numId w:val="1"/>
            </w:numPr>
            <w:ind w:hanging="180"/>
          </w:pPr>
          <w:hyperlink w:anchor="_heading=h.2bn6wsx">
            <w:r>
              <w:t>Section 50/171</w:t>
            </w:r>
          </w:hyperlink>
        </w:p>
        <w:p w14:paraId="32DA9937" w14:textId="77777777" w:rsidR="00D21301" w:rsidRDefault="00D21301" w:rsidP="00D21301">
          <w:pPr>
            <w:numPr>
              <w:ilvl w:val="0"/>
              <w:numId w:val="1"/>
            </w:numPr>
            <w:spacing w:before="200"/>
          </w:pPr>
          <w:hyperlink w:anchor="_heading=h.qsh70q">
            <w:r>
              <w:rPr>
                <w:b/>
              </w:rPr>
              <w:t>Consumer experience of EVCPs and Payments</w:t>
            </w:r>
          </w:hyperlink>
        </w:p>
        <w:p w14:paraId="0734A900" w14:textId="77777777" w:rsidR="00D21301" w:rsidRDefault="00D21301" w:rsidP="00D21301">
          <w:pPr>
            <w:numPr>
              <w:ilvl w:val="1"/>
              <w:numId w:val="1"/>
            </w:numPr>
          </w:pPr>
          <w:r>
            <w:t>Should EV drivers pay for charging their EVs?</w:t>
          </w:r>
        </w:p>
        <w:p w14:paraId="0A442C8F" w14:textId="77777777" w:rsidR="00D21301" w:rsidRDefault="00D21301" w:rsidP="00D21301">
          <w:pPr>
            <w:numPr>
              <w:ilvl w:val="1"/>
              <w:numId w:val="1"/>
            </w:numPr>
          </w:pPr>
          <w:r>
            <w:t>Ease of payment and access considerations</w:t>
          </w:r>
        </w:p>
        <w:p w14:paraId="746E2F54" w14:textId="77777777" w:rsidR="00D21301" w:rsidRDefault="00D21301" w:rsidP="00D21301">
          <w:pPr>
            <w:numPr>
              <w:ilvl w:val="2"/>
              <w:numId w:val="1"/>
            </w:numPr>
            <w:ind w:hanging="180"/>
          </w:pPr>
          <w:r>
            <w:t>Interoperability across charging networks</w:t>
          </w:r>
        </w:p>
        <w:p w14:paraId="421AB15C" w14:textId="77777777" w:rsidR="00D21301" w:rsidRDefault="00D21301" w:rsidP="00D21301">
          <w:pPr>
            <w:numPr>
              <w:ilvl w:val="2"/>
              <w:numId w:val="1"/>
            </w:numPr>
            <w:ind w:hanging="180"/>
          </w:pPr>
          <w:hyperlink w:anchor="_heading=h.3as4poj">
            <w:r>
              <w:t>Pros and cons of contactless payment</w:t>
            </w:r>
          </w:hyperlink>
        </w:p>
        <w:p w14:paraId="1512FC67" w14:textId="77777777" w:rsidR="00D21301" w:rsidRDefault="00D21301" w:rsidP="00D21301">
          <w:pPr>
            <w:numPr>
              <w:ilvl w:val="2"/>
              <w:numId w:val="1"/>
            </w:numPr>
            <w:ind w:hanging="180"/>
          </w:pPr>
          <w:r>
            <w:t xml:space="preserve">Introduction to the </w:t>
          </w:r>
          <w:hyperlink w:anchor="_heading=h.1pxezwc">
            <w:r>
              <w:rPr>
                <w:rFonts w:eastAsia="Calibri"/>
              </w:rPr>
              <w:t>Alternative Fuel Infrastructure Regulations 2017</w:t>
            </w:r>
          </w:hyperlink>
        </w:p>
        <w:p w14:paraId="1469B710" w14:textId="77777777" w:rsidR="00D21301" w:rsidRDefault="00D21301" w:rsidP="00D21301">
          <w:pPr>
            <w:numPr>
              <w:ilvl w:val="1"/>
              <w:numId w:val="1"/>
            </w:numPr>
          </w:pPr>
          <w:hyperlink w:anchor="_heading=h.49x2ik5">
            <w:r>
              <w:t>Bay blocking</w:t>
            </w:r>
          </w:hyperlink>
          <w:r>
            <w:t xml:space="preserve"> (including being </w:t>
          </w:r>
          <w:proofErr w:type="spellStart"/>
          <w:r>
            <w:t>ICE’d</w:t>
          </w:r>
          <w:proofErr w:type="spellEnd"/>
          <w:r>
            <w:t>)</w:t>
          </w:r>
        </w:p>
        <w:p w14:paraId="36A0AAC5" w14:textId="77777777" w:rsidR="00D21301" w:rsidRDefault="00D21301" w:rsidP="00D21301">
          <w:pPr>
            <w:numPr>
              <w:ilvl w:val="0"/>
              <w:numId w:val="1"/>
            </w:numPr>
            <w:spacing w:before="200"/>
          </w:pPr>
          <w:hyperlink w:anchor="_heading=h.2p2csry">
            <w:r>
              <w:rPr>
                <w:rFonts w:eastAsia="Calibri"/>
                <w:b/>
              </w:rPr>
              <w:t>Ownership and operational models</w:t>
            </w:r>
          </w:hyperlink>
        </w:p>
        <w:p w14:paraId="4CC405C2" w14:textId="77777777" w:rsidR="00D21301" w:rsidRDefault="00D21301" w:rsidP="00D21301">
          <w:pPr>
            <w:numPr>
              <w:ilvl w:val="1"/>
              <w:numId w:val="1"/>
            </w:numPr>
          </w:pPr>
          <w:r>
            <w:t>In-sourcing vs out-sourcing - contracting with a CPO</w:t>
          </w:r>
        </w:p>
        <w:p w14:paraId="171DB42D" w14:textId="77777777" w:rsidR="00D21301" w:rsidRDefault="00D21301" w:rsidP="00D21301">
          <w:pPr>
            <w:numPr>
              <w:ilvl w:val="1"/>
              <w:numId w:val="1"/>
            </w:numPr>
          </w:pPr>
          <w:hyperlink w:anchor="_heading=h.147n2zr">
            <w:r>
              <w:t>Commercial arrangements / contracts with suppliers / tenders</w:t>
            </w:r>
          </w:hyperlink>
        </w:p>
        <w:p w14:paraId="6995EDE0" w14:textId="77777777" w:rsidR="00D21301" w:rsidRDefault="00D21301" w:rsidP="00D21301">
          <w:pPr>
            <w:numPr>
              <w:ilvl w:val="0"/>
              <w:numId w:val="1"/>
            </w:numPr>
            <w:spacing w:before="200"/>
          </w:pPr>
          <w:hyperlink w:anchor="_heading=h.3o7alnk">
            <w:r>
              <w:rPr>
                <w:b/>
              </w:rPr>
              <w:t>Post installation - putting the EV charging network into public operation</w:t>
            </w:r>
          </w:hyperlink>
        </w:p>
        <w:p w14:paraId="37D387D0" w14:textId="77777777" w:rsidR="00D21301" w:rsidRDefault="00D21301" w:rsidP="00D21301">
          <w:pPr>
            <w:numPr>
              <w:ilvl w:val="1"/>
              <w:numId w:val="1"/>
            </w:numPr>
          </w:pPr>
          <w:r>
            <w:t xml:space="preserve">Maximising utilisation of EV </w:t>
          </w:r>
          <w:proofErr w:type="spellStart"/>
          <w:r>
            <w:t>chargepoints</w:t>
          </w:r>
          <w:proofErr w:type="spellEnd"/>
          <w:r>
            <w:t xml:space="preserve"> &amp; driving EV take up</w:t>
          </w:r>
        </w:p>
        <w:p w14:paraId="490DFD72" w14:textId="77777777" w:rsidR="00D21301" w:rsidRDefault="00D21301" w:rsidP="00D21301">
          <w:pPr>
            <w:numPr>
              <w:ilvl w:val="2"/>
              <w:numId w:val="1"/>
            </w:numPr>
            <w:ind w:hanging="180"/>
          </w:pPr>
          <w:r>
            <w:t xml:space="preserve">Continued </w:t>
          </w:r>
          <w:hyperlink w:anchor="_heading=h.23ckvvd">
            <w:r>
              <w:t>stakeholder engagement</w:t>
            </w:r>
          </w:hyperlink>
        </w:p>
        <w:p w14:paraId="38C0D1CF" w14:textId="77777777" w:rsidR="00D21301" w:rsidRDefault="00D21301" w:rsidP="00D21301">
          <w:pPr>
            <w:numPr>
              <w:ilvl w:val="2"/>
              <w:numId w:val="1"/>
            </w:numPr>
            <w:ind w:hanging="180"/>
          </w:pPr>
          <w:r>
            <w:t>Publicising the EV charging network</w:t>
          </w:r>
        </w:p>
        <w:p w14:paraId="583DD268" w14:textId="77777777" w:rsidR="00D21301" w:rsidRDefault="00D21301" w:rsidP="00D21301">
          <w:pPr>
            <w:numPr>
              <w:ilvl w:val="1"/>
              <w:numId w:val="1"/>
            </w:numPr>
          </w:pPr>
          <w:r>
            <w:t>Importance of m</w:t>
          </w:r>
          <w:hyperlink w:anchor="_heading=h.ihv636">
            <w:r>
              <w:rPr>
                <w:color w:val="000000"/>
              </w:rPr>
              <w:t>aintenance and upgrades</w:t>
            </w:r>
          </w:hyperlink>
        </w:p>
        <w:p w14:paraId="56BDC250" w14:textId="77777777" w:rsidR="00D21301" w:rsidRDefault="00D21301" w:rsidP="00D21301">
          <w:pPr>
            <w:ind w:left="720"/>
          </w:pPr>
        </w:p>
        <w:p w14:paraId="48D44B6E" w14:textId="77777777" w:rsidR="00D21301" w:rsidRDefault="00D21301" w:rsidP="00D21301">
          <w:pPr>
            <w:numPr>
              <w:ilvl w:val="0"/>
              <w:numId w:val="1"/>
            </w:numPr>
          </w:pPr>
          <w:hyperlink w:anchor="_heading=h.1ci93xb">
            <w:r>
              <w:rPr>
                <w:rFonts w:eastAsia="Calibri"/>
                <w:b/>
                <w:color w:val="000000"/>
              </w:rPr>
              <w:t>Technical guidelines, legislation and standards</w:t>
            </w:r>
          </w:hyperlink>
        </w:p>
        <w:p w14:paraId="135EA909" w14:textId="77777777" w:rsidR="00D21301" w:rsidRDefault="00D21301" w:rsidP="00D21301">
          <w:pPr>
            <w:numPr>
              <w:ilvl w:val="1"/>
              <w:numId w:val="1"/>
            </w:numPr>
            <w:spacing w:before="60"/>
          </w:pPr>
          <w:hyperlink w:anchor="_heading=h.32hioqz">
            <w:r>
              <w:rPr>
                <w:rFonts w:eastAsia="Calibri"/>
                <w:color w:val="000000"/>
              </w:rPr>
              <w:t>Alternative Fuel Infrastructure Regulations 2017</w:t>
            </w:r>
          </w:hyperlink>
        </w:p>
        <w:p w14:paraId="31876B3A" w14:textId="77777777" w:rsidR="00D21301" w:rsidRDefault="00D21301" w:rsidP="00D21301">
          <w:pPr>
            <w:numPr>
              <w:ilvl w:val="1"/>
              <w:numId w:val="1"/>
            </w:numPr>
            <w:spacing w:after="200"/>
          </w:pPr>
          <w:hyperlink w:anchor="_heading=h.1hmsyys">
            <w:r>
              <w:rPr>
                <w:rFonts w:eastAsia="Calibri"/>
                <w:color w:val="000000"/>
              </w:rPr>
              <w:t>Open Charge point Protocol</w:t>
            </w:r>
          </w:hyperlink>
        </w:p>
        <w:p w14:paraId="33296950" w14:textId="77777777" w:rsidR="00D21301" w:rsidRDefault="00D21301" w:rsidP="00D21301">
          <w:pPr>
            <w:spacing w:after="200"/>
            <w:rPr>
              <w:b/>
            </w:rPr>
          </w:pPr>
        </w:p>
        <w:p w14:paraId="56B9E25A" w14:textId="77777777" w:rsidR="00D21301" w:rsidRDefault="00D21301" w:rsidP="00D21301">
          <w:pPr>
            <w:spacing w:before="200" w:after="200"/>
            <w:rPr>
              <w:color w:val="000000"/>
            </w:rPr>
          </w:pPr>
          <w:hyperlink w:anchor="_heading=h.41mghml">
            <w:r>
              <w:rPr>
                <w:rFonts w:eastAsia="Calibri"/>
                <w:color w:val="000000"/>
              </w:rPr>
              <w:t>Appendix 1. Workshop participants in October 2020</w:t>
            </w:r>
          </w:hyperlink>
        </w:p>
        <w:p w14:paraId="342D6AB1" w14:textId="77777777" w:rsidR="00D21301" w:rsidRDefault="00D21301" w:rsidP="00D21301">
          <w:pPr>
            <w:spacing w:before="200" w:after="200"/>
          </w:pPr>
          <w:hyperlink w:anchor="_heading=h.2grqrue">
            <w:r>
              <w:rPr>
                <w:rFonts w:eastAsia="Calibri"/>
                <w:color w:val="000000"/>
              </w:rPr>
              <w:t>Appendix 2. Sample installation schematic - lamppost charger</w:t>
            </w:r>
          </w:hyperlink>
        </w:p>
        <w:p w14:paraId="3B64974C" w14:textId="4D62D387" w:rsidR="00D21301" w:rsidRDefault="00D21301" w:rsidP="00D21301">
          <w:hyperlink w:anchor="_heading=h.vx1227">
            <w:r>
              <w:t>Appendix 3. Grants for EV chargepoints (as in 2021</w:t>
            </w:r>
          </w:hyperlink>
          <w:r>
            <w:t>)</w:t>
          </w:r>
          <w:r>
            <w:fldChar w:fldCharType="end"/>
          </w:r>
        </w:p>
      </w:sdtContent>
    </w:sdt>
    <w:sectPr w:rsidR="00D213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B1064"/>
    <w:multiLevelType w:val="multilevel"/>
    <w:tmpl w:val="0088C0E2"/>
    <w:lvl w:ilvl="0">
      <w:start w:val="1"/>
      <w:numFmt w:val="decimal"/>
      <w:lvlText w:val="%1.0"/>
      <w:lvlJc w:val="right"/>
      <w:pPr>
        <w:ind w:left="720" w:hanging="360"/>
      </w:pPr>
      <w:rPr>
        <w:rFonts w:ascii="Calibri" w:eastAsia="Calibri" w:hAnsi="Calibri" w:cs="Calibri"/>
        <w:b/>
        <w:u w:val="none"/>
      </w:rPr>
    </w:lvl>
    <w:lvl w:ilvl="1">
      <w:start w:val="1"/>
      <w:numFmt w:val="decimal"/>
      <w:lvlText w:val="%1.%2"/>
      <w:lvlJc w:val="right"/>
      <w:pPr>
        <w:ind w:left="1417" w:hanging="283"/>
      </w:pPr>
      <w:rPr>
        <w:u w:val="none"/>
      </w:rPr>
    </w:lvl>
    <w:lvl w:ilvl="2">
      <w:start w:val="1"/>
      <w:numFmt w:val="decimal"/>
      <w:lvlText w:val="%1.%2.%3"/>
      <w:lvlJc w:val="right"/>
      <w:pPr>
        <w:ind w:left="2125" w:hanging="179"/>
      </w:pPr>
      <w:rPr>
        <w:u w:val="none"/>
      </w:rPr>
    </w:lvl>
    <w:lvl w:ilvl="3">
      <w:start w:val="1"/>
      <w:numFmt w:val="decimal"/>
      <w:lvlText w:val="%1.%2.%3.%4"/>
      <w:lvlJc w:val="right"/>
      <w:pPr>
        <w:ind w:left="2976" w:hanging="141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01"/>
    <w:rsid w:val="00D2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14B24"/>
  <w15:chartTrackingRefBased/>
  <w15:docId w15:val="{64D0614D-0FD3-49DF-A180-FE8F7C5D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2130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2008EC28E4644CA9CBE26FFACE99BE" ma:contentTypeVersion="8" ma:contentTypeDescription="Create a new document." ma:contentTypeScope="" ma:versionID="bd6cea7469a5d923a041fcd343aa4d85">
  <xsd:schema xmlns:xsd="http://www.w3.org/2001/XMLSchema" xmlns:xs="http://www.w3.org/2001/XMLSchema" xmlns:p="http://schemas.microsoft.com/office/2006/metadata/properties" xmlns:ns3="2dbcfcee-9796-46bd-8e37-d178e4394a28" targetNamespace="http://schemas.microsoft.com/office/2006/metadata/properties" ma:root="true" ma:fieldsID="34945f727cf439abb34be39de5d2bb41" ns3:_="">
    <xsd:import namespace="2dbcfcee-9796-46bd-8e37-d178e4394a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cfcee-9796-46bd-8e37-d178e4394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6EAB8D-96AD-4B6C-A1BA-B04BD61EA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cfcee-9796-46bd-8e37-d178e4394a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F29724-6340-4B58-865D-F2A3FBEF1A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07D7E0-1689-4014-8D26-6CE5F5EE950B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dbcfcee-9796-46bd-8e37-d178e4394a28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for Transport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Ford</dc:creator>
  <cp:keywords/>
  <dc:description/>
  <cp:lastModifiedBy>Hayley Ford</cp:lastModifiedBy>
  <cp:revision>1</cp:revision>
  <dcterms:created xsi:type="dcterms:W3CDTF">2021-01-29T16:11:00Z</dcterms:created>
  <dcterms:modified xsi:type="dcterms:W3CDTF">2021-01-29T16:13:00Z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0x010100DE2008EC28E4644CA9CBE26FFACE99BE</vt:lpwstr>
  </property>
</Properties>
</file>